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50" w:rsidRPr="00201EDD" w:rsidRDefault="00605E50" w:rsidP="00FE06A8">
      <w:pPr>
        <w:spacing w:after="0"/>
        <w:jc w:val="both"/>
        <w:rPr>
          <w:b/>
          <w:sz w:val="24"/>
          <w:szCs w:val="24"/>
        </w:rPr>
      </w:pPr>
      <w:r w:rsidRPr="00201EDD">
        <w:rPr>
          <w:b/>
          <w:sz w:val="24"/>
          <w:szCs w:val="24"/>
        </w:rPr>
        <w:t>Hong Kong Home Prices – Inevitably Higher</w:t>
      </w:r>
    </w:p>
    <w:p w:rsidR="00CC5EF7" w:rsidRDefault="00CC5EF7" w:rsidP="00FE06A8">
      <w:pPr>
        <w:spacing w:after="0"/>
        <w:jc w:val="both"/>
        <w:rPr>
          <w:sz w:val="24"/>
          <w:szCs w:val="24"/>
        </w:rPr>
      </w:pPr>
    </w:p>
    <w:p w:rsidR="00605E50" w:rsidRDefault="00655082" w:rsidP="00FE06A8">
      <w:pPr>
        <w:spacing w:after="0"/>
        <w:jc w:val="both"/>
        <w:rPr>
          <w:sz w:val="24"/>
          <w:szCs w:val="24"/>
        </w:rPr>
      </w:pPr>
      <w:r>
        <w:rPr>
          <w:sz w:val="24"/>
          <w:szCs w:val="24"/>
        </w:rPr>
        <w:t>Monday, September 9</w:t>
      </w:r>
      <w:r w:rsidRPr="00655082">
        <w:rPr>
          <w:sz w:val="24"/>
          <w:szCs w:val="24"/>
          <w:vertAlign w:val="superscript"/>
        </w:rPr>
        <w:t>th</w:t>
      </w:r>
      <w:r>
        <w:rPr>
          <w:sz w:val="24"/>
          <w:szCs w:val="24"/>
        </w:rPr>
        <w:t xml:space="preserve"> 2013</w:t>
      </w:r>
    </w:p>
    <w:p w:rsidR="00CC5EF7" w:rsidRDefault="00CC5EF7" w:rsidP="00FE06A8">
      <w:pPr>
        <w:spacing w:after="0"/>
        <w:jc w:val="both"/>
        <w:rPr>
          <w:sz w:val="24"/>
          <w:szCs w:val="24"/>
        </w:rPr>
      </w:pPr>
      <w:r>
        <w:rPr>
          <w:sz w:val="24"/>
          <w:szCs w:val="24"/>
        </w:rPr>
        <w:t>Nial Gooding, 8IP Senior Analyst, China</w:t>
      </w:r>
    </w:p>
    <w:p w:rsidR="00CC5EF7" w:rsidRPr="00201EDD" w:rsidRDefault="00CC5EF7" w:rsidP="00FE06A8">
      <w:pPr>
        <w:spacing w:after="0"/>
        <w:jc w:val="both"/>
        <w:rPr>
          <w:sz w:val="24"/>
          <w:szCs w:val="24"/>
        </w:rPr>
      </w:pPr>
    </w:p>
    <w:p w:rsidR="00A5008C" w:rsidRPr="00201EDD" w:rsidRDefault="00A5008C" w:rsidP="00FE06A8">
      <w:pPr>
        <w:spacing w:after="0"/>
        <w:jc w:val="both"/>
        <w:rPr>
          <w:b/>
          <w:sz w:val="24"/>
          <w:szCs w:val="24"/>
        </w:rPr>
      </w:pPr>
      <w:r w:rsidRPr="00201EDD">
        <w:rPr>
          <w:b/>
          <w:sz w:val="24"/>
          <w:szCs w:val="24"/>
        </w:rPr>
        <w:t>Preamble</w:t>
      </w:r>
    </w:p>
    <w:p w:rsidR="00A5008C" w:rsidRPr="00201EDD" w:rsidRDefault="00A5008C" w:rsidP="00FE06A8">
      <w:pPr>
        <w:spacing w:after="0"/>
        <w:jc w:val="both"/>
        <w:rPr>
          <w:sz w:val="24"/>
          <w:szCs w:val="24"/>
        </w:rPr>
      </w:pPr>
    </w:p>
    <w:p w:rsidR="00A5008C" w:rsidRPr="00201EDD" w:rsidRDefault="00B720F9" w:rsidP="00FE06A8">
      <w:pPr>
        <w:spacing w:after="0"/>
        <w:jc w:val="both"/>
        <w:rPr>
          <w:sz w:val="24"/>
          <w:szCs w:val="24"/>
        </w:rPr>
      </w:pPr>
      <w:r w:rsidRPr="00201EDD">
        <w:rPr>
          <w:sz w:val="24"/>
          <w:szCs w:val="24"/>
        </w:rPr>
        <w:t>Midland Realty</w:t>
      </w:r>
      <w:r w:rsidR="002314A4">
        <w:rPr>
          <w:sz w:val="24"/>
          <w:szCs w:val="24"/>
        </w:rPr>
        <w:t>, and they’re not alone,</w:t>
      </w:r>
      <w:r w:rsidRPr="00201EDD">
        <w:rPr>
          <w:sz w:val="24"/>
          <w:szCs w:val="24"/>
        </w:rPr>
        <w:t xml:space="preserve"> have been calling </w:t>
      </w:r>
      <w:r w:rsidR="00FE06A8" w:rsidRPr="00201EDD">
        <w:rPr>
          <w:sz w:val="24"/>
          <w:szCs w:val="24"/>
        </w:rPr>
        <w:t>the Hong Kong residential property market down for several months. There’s now a widely held view that higher interest rates</w:t>
      </w:r>
      <w:r w:rsidR="002314A4">
        <w:rPr>
          <w:sz w:val="24"/>
          <w:szCs w:val="24"/>
        </w:rPr>
        <w:t>, coming soon,</w:t>
      </w:r>
      <w:r w:rsidR="00FE06A8" w:rsidRPr="00201EDD">
        <w:rPr>
          <w:sz w:val="24"/>
          <w:szCs w:val="24"/>
        </w:rPr>
        <w:t xml:space="preserve"> must lead to lower property prices; but I see no reason why </w:t>
      </w:r>
      <w:r w:rsidR="002314A4">
        <w:rPr>
          <w:sz w:val="24"/>
          <w:szCs w:val="24"/>
        </w:rPr>
        <w:t>this should automatically be so?</w:t>
      </w:r>
      <w:r w:rsidR="00FE06A8" w:rsidRPr="00201EDD">
        <w:rPr>
          <w:sz w:val="24"/>
          <w:szCs w:val="24"/>
        </w:rPr>
        <w:t xml:space="preserve"> In fact</w:t>
      </w:r>
      <w:r w:rsidR="00C7341F">
        <w:rPr>
          <w:sz w:val="24"/>
          <w:szCs w:val="24"/>
        </w:rPr>
        <w:t>, it seems to me at least, the main factor</w:t>
      </w:r>
      <w:r w:rsidR="00FE06A8" w:rsidRPr="00201EDD">
        <w:rPr>
          <w:sz w:val="24"/>
          <w:szCs w:val="24"/>
        </w:rPr>
        <w:t xml:space="preserve"> responsible for</w:t>
      </w:r>
      <w:r w:rsidR="00C7341F">
        <w:rPr>
          <w:sz w:val="24"/>
          <w:szCs w:val="24"/>
        </w:rPr>
        <w:t xml:space="preserve"> current </w:t>
      </w:r>
      <w:r w:rsidR="00FE06A8" w:rsidRPr="00201EDD">
        <w:rPr>
          <w:sz w:val="24"/>
          <w:szCs w:val="24"/>
        </w:rPr>
        <w:t xml:space="preserve">home prices </w:t>
      </w:r>
      <w:r w:rsidR="00C7341F">
        <w:rPr>
          <w:sz w:val="24"/>
          <w:szCs w:val="24"/>
        </w:rPr>
        <w:t xml:space="preserve">is </w:t>
      </w:r>
      <w:r w:rsidR="00FE06A8" w:rsidRPr="00201EDD">
        <w:rPr>
          <w:sz w:val="24"/>
          <w:szCs w:val="24"/>
        </w:rPr>
        <w:t xml:space="preserve">likely to </w:t>
      </w:r>
      <w:r w:rsidR="002314A4">
        <w:rPr>
          <w:sz w:val="24"/>
          <w:szCs w:val="24"/>
        </w:rPr>
        <w:t>persist</w:t>
      </w:r>
      <w:r w:rsidR="00FE06A8" w:rsidRPr="00201EDD">
        <w:rPr>
          <w:sz w:val="24"/>
          <w:szCs w:val="24"/>
        </w:rPr>
        <w:t xml:space="preserve"> and, in the process, drive </w:t>
      </w:r>
      <w:r w:rsidR="00C7341F">
        <w:rPr>
          <w:sz w:val="24"/>
          <w:szCs w:val="24"/>
        </w:rPr>
        <w:t xml:space="preserve">home </w:t>
      </w:r>
      <w:r w:rsidR="00FE06A8" w:rsidRPr="00201EDD">
        <w:rPr>
          <w:sz w:val="24"/>
          <w:szCs w:val="24"/>
        </w:rPr>
        <w:t xml:space="preserve">prices higher. </w:t>
      </w:r>
    </w:p>
    <w:p w:rsidR="00605E50" w:rsidRPr="00201EDD" w:rsidRDefault="00605E50" w:rsidP="00FE06A8">
      <w:pPr>
        <w:spacing w:after="0"/>
        <w:jc w:val="both"/>
        <w:rPr>
          <w:sz w:val="24"/>
          <w:szCs w:val="24"/>
        </w:rPr>
      </w:pPr>
    </w:p>
    <w:p w:rsidR="00FE06A8" w:rsidRPr="00655082" w:rsidRDefault="00FE06A8" w:rsidP="00FE06A8">
      <w:pPr>
        <w:spacing w:after="0"/>
        <w:jc w:val="both"/>
        <w:rPr>
          <w:b/>
          <w:sz w:val="24"/>
          <w:szCs w:val="24"/>
        </w:rPr>
      </w:pPr>
      <w:r w:rsidRPr="00655082">
        <w:rPr>
          <w:b/>
          <w:sz w:val="24"/>
          <w:szCs w:val="24"/>
        </w:rPr>
        <w:t>Summary conclusion</w:t>
      </w:r>
    </w:p>
    <w:p w:rsidR="00FE06A8" w:rsidRPr="00201EDD" w:rsidRDefault="00FE06A8" w:rsidP="00FE06A8">
      <w:pPr>
        <w:spacing w:after="0"/>
        <w:jc w:val="both"/>
        <w:rPr>
          <w:sz w:val="24"/>
          <w:szCs w:val="24"/>
        </w:rPr>
      </w:pPr>
    </w:p>
    <w:p w:rsidR="002314A4" w:rsidRDefault="00CA09FE" w:rsidP="00FE06A8">
      <w:pPr>
        <w:spacing w:after="0"/>
        <w:jc w:val="both"/>
        <w:rPr>
          <w:sz w:val="24"/>
          <w:szCs w:val="24"/>
        </w:rPr>
      </w:pPr>
      <w:r>
        <w:rPr>
          <w:sz w:val="24"/>
          <w:szCs w:val="24"/>
        </w:rPr>
        <w:t>Inflation and inflationary expectations explain more reliably home prices in Hong Kong than the level of nominal interest rates</w:t>
      </w:r>
      <w:r w:rsidR="002314A4">
        <w:rPr>
          <w:sz w:val="24"/>
          <w:szCs w:val="24"/>
        </w:rPr>
        <w:t xml:space="preserve"> and e</w:t>
      </w:r>
      <w:r>
        <w:rPr>
          <w:sz w:val="24"/>
          <w:szCs w:val="24"/>
        </w:rPr>
        <w:t>vidence from the last 20-years is conclusive</w:t>
      </w:r>
      <w:r w:rsidR="002314A4">
        <w:rPr>
          <w:sz w:val="24"/>
          <w:szCs w:val="24"/>
        </w:rPr>
        <w:t>.</w:t>
      </w:r>
    </w:p>
    <w:p w:rsidR="00CA09FE" w:rsidRDefault="002314A4" w:rsidP="00FE06A8">
      <w:pPr>
        <w:spacing w:after="0"/>
        <w:jc w:val="both"/>
        <w:rPr>
          <w:sz w:val="24"/>
          <w:szCs w:val="24"/>
        </w:rPr>
      </w:pPr>
      <w:r>
        <w:rPr>
          <w:sz w:val="24"/>
          <w:szCs w:val="24"/>
        </w:rPr>
        <w:t xml:space="preserve"> </w:t>
      </w:r>
    </w:p>
    <w:p w:rsidR="00655082" w:rsidRDefault="00CA09FE" w:rsidP="00FE06A8">
      <w:pPr>
        <w:spacing w:after="0"/>
        <w:jc w:val="both"/>
        <w:rPr>
          <w:sz w:val="24"/>
          <w:szCs w:val="24"/>
        </w:rPr>
      </w:pPr>
      <w:r>
        <w:rPr>
          <w:sz w:val="24"/>
          <w:szCs w:val="24"/>
        </w:rPr>
        <w:t xml:space="preserve">A pegged </w:t>
      </w:r>
      <w:r w:rsidR="002314A4">
        <w:rPr>
          <w:sz w:val="24"/>
          <w:szCs w:val="24"/>
        </w:rPr>
        <w:t xml:space="preserve">exchange </w:t>
      </w:r>
      <w:r w:rsidR="00C7341F">
        <w:rPr>
          <w:sz w:val="24"/>
          <w:szCs w:val="24"/>
        </w:rPr>
        <w:t xml:space="preserve">rate </w:t>
      </w:r>
      <w:r w:rsidR="002314A4">
        <w:rPr>
          <w:sz w:val="24"/>
          <w:szCs w:val="24"/>
        </w:rPr>
        <w:t xml:space="preserve">causes </w:t>
      </w:r>
      <w:r>
        <w:rPr>
          <w:sz w:val="24"/>
          <w:szCs w:val="24"/>
        </w:rPr>
        <w:t xml:space="preserve">inflation </w:t>
      </w:r>
      <w:r w:rsidR="002314A4">
        <w:rPr>
          <w:sz w:val="24"/>
          <w:szCs w:val="24"/>
        </w:rPr>
        <w:t xml:space="preserve">in Hong Kong via </w:t>
      </w:r>
      <w:r>
        <w:rPr>
          <w:sz w:val="24"/>
          <w:szCs w:val="24"/>
        </w:rPr>
        <w:t xml:space="preserve">a persistently rising Renminbi and </w:t>
      </w:r>
      <w:r w:rsidR="002314A4">
        <w:rPr>
          <w:sz w:val="24"/>
          <w:szCs w:val="24"/>
        </w:rPr>
        <w:t xml:space="preserve">the adoption of an inappropriate </w:t>
      </w:r>
      <w:r>
        <w:rPr>
          <w:sz w:val="24"/>
          <w:szCs w:val="24"/>
        </w:rPr>
        <w:t>stimulatory monetary</w:t>
      </w:r>
      <w:r w:rsidR="002314A4">
        <w:rPr>
          <w:sz w:val="24"/>
          <w:szCs w:val="24"/>
        </w:rPr>
        <w:t xml:space="preserve"> policy</w:t>
      </w:r>
      <w:r>
        <w:rPr>
          <w:sz w:val="24"/>
          <w:szCs w:val="24"/>
        </w:rPr>
        <w:t xml:space="preserve">. As there seems little prospect of significant Renminbi weakness or a meaningful change to US policy </w:t>
      </w:r>
      <w:r w:rsidR="002314A4">
        <w:rPr>
          <w:sz w:val="24"/>
          <w:szCs w:val="24"/>
        </w:rPr>
        <w:t>we should</w:t>
      </w:r>
      <w:r>
        <w:rPr>
          <w:sz w:val="24"/>
          <w:szCs w:val="24"/>
        </w:rPr>
        <w:t xml:space="preserve"> </w:t>
      </w:r>
      <w:r w:rsidR="002314A4">
        <w:rPr>
          <w:sz w:val="24"/>
          <w:szCs w:val="24"/>
        </w:rPr>
        <w:t xml:space="preserve">therefore </w:t>
      </w:r>
      <w:r>
        <w:rPr>
          <w:sz w:val="24"/>
          <w:szCs w:val="24"/>
        </w:rPr>
        <w:t xml:space="preserve">predict no </w:t>
      </w:r>
      <w:r w:rsidR="002314A4">
        <w:rPr>
          <w:sz w:val="24"/>
          <w:szCs w:val="24"/>
        </w:rPr>
        <w:t>change to the inflationary outlook;</w:t>
      </w:r>
      <w:r>
        <w:rPr>
          <w:sz w:val="24"/>
          <w:szCs w:val="24"/>
        </w:rPr>
        <w:t xml:space="preserve"> and</w:t>
      </w:r>
      <w:r w:rsidR="002314A4">
        <w:rPr>
          <w:sz w:val="24"/>
          <w:szCs w:val="24"/>
        </w:rPr>
        <w:t xml:space="preserve">, </w:t>
      </w:r>
      <w:r w:rsidR="00502949">
        <w:rPr>
          <w:sz w:val="24"/>
          <w:szCs w:val="24"/>
        </w:rPr>
        <w:t>as a consequence</w:t>
      </w:r>
      <w:r w:rsidR="002314A4">
        <w:rPr>
          <w:sz w:val="24"/>
          <w:szCs w:val="24"/>
        </w:rPr>
        <w:t xml:space="preserve">, higher Hong Kong home prices. </w:t>
      </w:r>
      <w:r>
        <w:rPr>
          <w:sz w:val="24"/>
          <w:szCs w:val="24"/>
        </w:rPr>
        <w:t xml:space="preserve"> </w:t>
      </w:r>
      <w:r w:rsidR="002314A4">
        <w:rPr>
          <w:sz w:val="24"/>
          <w:szCs w:val="24"/>
        </w:rPr>
        <w:t xml:space="preserve"> </w:t>
      </w:r>
    </w:p>
    <w:p w:rsidR="00655082" w:rsidRPr="00201EDD" w:rsidRDefault="00655082" w:rsidP="00FE06A8">
      <w:pPr>
        <w:spacing w:after="0"/>
        <w:jc w:val="both"/>
        <w:rPr>
          <w:sz w:val="24"/>
          <w:szCs w:val="24"/>
        </w:rPr>
      </w:pPr>
    </w:p>
    <w:p w:rsidR="00FE06A8" w:rsidRPr="00201EDD" w:rsidRDefault="00FE06A8" w:rsidP="00FE06A8">
      <w:pPr>
        <w:spacing w:after="0"/>
        <w:jc w:val="both"/>
        <w:rPr>
          <w:b/>
          <w:sz w:val="24"/>
          <w:szCs w:val="24"/>
        </w:rPr>
      </w:pPr>
      <w:r w:rsidRPr="00201EDD">
        <w:rPr>
          <w:b/>
          <w:sz w:val="24"/>
          <w:szCs w:val="24"/>
        </w:rPr>
        <w:t>Fear the tapir; and do it anyway</w:t>
      </w:r>
    </w:p>
    <w:p w:rsidR="00605E50" w:rsidRPr="00201EDD" w:rsidRDefault="00605E50" w:rsidP="00FE06A8">
      <w:pPr>
        <w:spacing w:after="0"/>
        <w:jc w:val="both"/>
        <w:rPr>
          <w:sz w:val="24"/>
          <w:szCs w:val="24"/>
        </w:rPr>
      </w:pPr>
    </w:p>
    <w:p w:rsidR="00283A50" w:rsidRPr="00201EDD" w:rsidRDefault="00A5008C" w:rsidP="00FE06A8">
      <w:pPr>
        <w:spacing w:after="0"/>
        <w:jc w:val="both"/>
        <w:rPr>
          <w:sz w:val="24"/>
          <w:szCs w:val="24"/>
        </w:rPr>
      </w:pPr>
      <w:r w:rsidRPr="00201EDD">
        <w:rPr>
          <w:noProof/>
          <w:sz w:val="24"/>
          <w:szCs w:val="24"/>
        </w:rPr>
        <w:drawing>
          <wp:anchor distT="0" distB="0" distL="114300" distR="114300" simplePos="0" relativeHeight="251658240" behindDoc="0" locked="0" layoutInCell="1" allowOverlap="1" wp14:anchorId="5D822AD9" wp14:editId="65B2A790">
            <wp:simplePos x="0" y="0"/>
            <wp:positionH relativeFrom="margin">
              <wp:posOffset>38100</wp:posOffset>
            </wp:positionH>
            <wp:positionV relativeFrom="paragraph">
              <wp:posOffset>90805</wp:posOffset>
            </wp:positionV>
            <wp:extent cx="2743200" cy="1828800"/>
            <wp:effectExtent l="38100" t="38100" r="38100" b="3810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zilian-Tapir.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743200" cy="1828800"/>
                    </a:xfrm>
                    <a:prstGeom prst="rect">
                      <a:avLst/>
                    </a:prstGeom>
                    <a:ln w="38100">
                      <a:solidFill>
                        <a:srgbClr val="FFFF00"/>
                      </a:solidFill>
                    </a:ln>
                  </pic:spPr>
                </pic:pic>
              </a:graphicData>
            </a:graphic>
            <wp14:sizeRelH relativeFrom="page">
              <wp14:pctWidth>0</wp14:pctWidth>
            </wp14:sizeRelH>
            <wp14:sizeRelV relativeFrom="page">
              <wp14:pctHeight>0</wp14:pctHeight>
            </wp14:sizeRelV>
          </wp:anchor>
        </w:drawing>
      </w:r>
      <w:r w:rsidR="00FE06A8" w:rsidRPr="00201EDD">
        <w:rPr>
          <w:sz w:val="24"/>
          <w:szCs w:val="24"/>
        </w:rPr>
        <w:t>In an uncertain world, with so much in the future unknown there’s one thing that every forecaster and layman can agree on; the next move in</w:t>
      </w:r>
      <w:r w:rsidR="00283A50" w:rsidRPr="00201EDD">
        <w:rPr>
          <w:sz w:val="24"/>
          <w:szCs w:val="24"/>
        </w:rPr>
        <w:t xml:space="preserve"> US</w:t>
      </w:r>
      <w:r w:rsidR="00843827" w:rsidRPr="00201EDD">
        <w:rPr>
          <w:sz w:val="24"/>
          <w:szCs w:val="24"/>
        </w:rPr>
        <w:t xml:space="preserve"> and HK</w:t>
      </w:r>
      <w:r w:rsidR="00283A50" w:rsidRPr="00201EDD">
        <w:rPr>
          <w:sz w:val="24"/>
          <w:szCs w:val="24"/>
        </w:rPr>
        <w:t xml:space="preserve"> </w:t>
      </w:r>
      <w:r w:rsidR="00843827" w:rsidRPr="00201EDD">
        <w:rPr>
          <w:sz w:val="24"/>
          <w:szCs w:val="24"/>
        </w:rPr>
        <w:t>interest rates will be up</w:t>
      </w:r>
      <w:r w:rsidR="00843827" w:rsidRPr="00201EDD">
        <w:rPr>
          <w:sz w:val="24"/>
          <w:szCs w:val="24"/>
        </w:rPr>
        <w:t xml:space="preserve"> </w:t>
      </w:r>
      <w:r w:rsidR="00283A50" w:rsidRPr="00201EDD">
        <w:rPr>
          <w:sz w:val="24"/>
          <w:szCs w:val="24"/>
        </w:rPr>
        <w:t>(</w:t>
      </w:r>
      <w:r w:rsidR="00843827" w:rsidRPr="00201EDD">
        <w:rPr>
          <w:sz w:val="24"/>
          <w:szCs w:val="24"/>
        </w:rPr>
        <w:t xml:space="preserve">the latter </w:t>
      </w:r>
      <w:r w:rsidR="00283A50" w:rsidRPr="00201EDD">
        <w:rPr>
          <w:sz w:val="24"/>
          <w:szCs w:val="24"/>
        </w:rPr>
        <w:t>as long as the HK$ remains pegged to the U$)</w:t>
      </w:r>
      <w:r w:rsidR="00FE06A8" w:rsidRPr="00201EDD">
        <w:rPr>
          <w:sz w:val="24"/>
          <w:szCs w:val="24"/>
        </w:rPr>
        <w:t xml:space="preserve">. If higher rates are an inevitability </w:t>
      </w:r>
      <w:r w:rsidR="00843827" w:rsidRPr="00201EDD">
        <w:rPr>
          <w:sz w:val="24"/>
          <w:szCs w:val="24"/>
        </w:rPr>
        <w:t xml:space="preserve">though </w:t>
      </w:r>
      <w:r w:rsidR="00FE06A8" w:rsidRPr="00201EDD">
        <w:rPr>
          <w:sz w:val="24"/>
          <w:szCs w:val="24"/>
        </w:rPr>
        <w:t xml:space="preserve">why then are home owners not falling over themselves to dump inventory? </w:t>
      </w:r>
      <w:r w:rsidR="00283A50" w:rsidRPr="00201EDD">
        <w:rPr>
          <w:sz w:val="24"/>
          <w:szCs w:val="24"/>
        </w:rPr>
        <w:t>Moreover, the most recent weekend sales data begs the question; why are fresh buyers continuing to turn up at this party?</w:t>
      </w:r>
    </w:p>
    <w:p w:rsidR="00283A50" w:rsidRPr="00201EDD" w:rsidRDefault="00283A50" w:rsidP="00B479CC">
      <w:pPr>
        <w:spacing w:before="240" w:after="0"/>
        <w:jc w:val="both"/>
        <w:rPr>
          <w:b/>
          <w:sz w:val="24"/>
          <w:szCs w:val="24"/>
        </w:rPr>
      </w:pPr>
      <w:r w:rsidRPr="00201EDD">
        <w:rPr>
          <w:b/>
          <w:sz w:val="24"/>
          <w:szCs w:val="24"/>
        </w:rPr>
        <w:t>Why homes are not taxi licenses</w:t>
      </w:r>
      <w:r w:rsidR="00B479CC" w:rsidRPr="00201EDD">
        <w:rPr>
          <w:b/>
          <w:sz w:val="24"/>
          <w:szCs w:val="24"/>
        </w:rPr>
        <w:t xml:space="preserve"> (</w:t>
      </w:r>
      <w:r w:rsidRPr="00201EDD">
        <w:rPr>
          <w:b/>
          <w:sz w:val="24"/>
          <w:szCs w:val="24"/>
        </w:rPr>
        <w:t>or golf carts</w:t>
      </w:r>
      <w:r w:rsidR="00B479CC" w:rsidRPr="00201EDD">
        <w:rPr>
          <w:b/>
          <w:sz w:val="24"/>
          <w:szCs w:val="24"/>
        </w:rPr>
        <w:t>)</w:t>
      </w:r>
    </w:p>
    <w:p w:rsidR="00BC342C" w:rsidRPr="00201EDD" w:rsidRDefault="00BC342C" w:rsidP="00FE06A8">
      <w:pPr>
        <w:spacing w:after="0"/>
        <w:jc w:val="both"/>
        <w:rPr>
          <w:sz w:val="24"/>
          <w:szCs w:val="24"/>
        </w:rPr>
      </w:pPr>
      <w:bookmarkStart w:id="0" w:name="_GoBack"/>
      <w:bookmarkEnd w:id="0"/>
    </w:p>
    <w:p w:rsidR="00AE37FB" w:rsidRDefault="00BC342C" w:rsidP="00FE06A8">
      <w:pPr>
        <w:spacing w:after="0"/>
        <w:jc w:val="both"/>
        <w:rPr>
          <w:sz w:val="24"/>
          <w:szCs w:val="24"/>
        </w:rPr>
      </w:pPr>
      <w:r w:rsidRPr="00201EDD">
        <w:rPr>
          <w:sz w:val="24"/>
          <w:szCs w:val="24"/>
        </w:rPr>
        <w:t xml:space="preserve">According to taxicharge.com the price of a </w:t>
      </w:r>
      <w:r w:rsidR="00843827" w:rsidRPr="00201EDD">
        <w:rPr>
          <w:sz w:val="24"/>
          <w:szCs w:val="24"/>
        </w:rPr>
        <w:t xml:space="preserve">HK taxi </w:t>
      </w:r>
      <w:r w:rsidRPr="00201EDD">
        <w:rPr>
          <w:sz w:val="24"/>
          <w:szCs w:val="24"/>
        </w:rPr>
        <w:t xml:space="preserve">license and </w:t>
      </w:r>
      <w:r w:rsidR="00843827" w:rsidRPr="00201EDD">
        <w:rPr>
          <w:sz w:val="24"/>
          <w:szCs w:val="24"/>
        </w:rPr>
        <w:t>taxi hit a high in June of H$7.66m (U$982</w:t>
      </w:r>
      <w:r w:rsidR="00502949">
        <w:rPr>
          <w:sz w:val="24"/>
          <w:szCs w:val="24"/>
        </w:rPr>
        <w:t>k</w:t>
      </w:r>
      <w:r w:rsidR="00843827" w:rsidRPr="00201EDD">
        <w:rPr>
          <w:sz w:val="24"/>
          <w:szCs w:val="24"/>
        </w:rPr>
        <w:t>) propelled by low interest rates</w:t>
      </w:r>
      <w:r w:rsidR="00AE37FB" w:rsidRPr="00201EDD">
        <w:rPr>
          <w:sz w:val="24"/>
          <w:szCs w:val="24"/>
        </w:rPr>
        <w:t xml:space="preserve"> (taxis generate </w:t>
      </w:r>
      <w:r w:rsidR="00502949">
        <w:rPr>
          <w:sz w:val="24"/>
          <w:szCs w:val="24"/>
        </w:rPr>
        <w:t xml:space="preserve">around </w:t>
      </w:r>
      <w:r w:rsidR="00AE37FB" w:rsidRPr="00201EDD">
        <w:rPr>
          <w:sz w:val="24"/>
          <w:szCs w:val="24"/>
        </w:rPr>
        <w:t>H$18k per month after all expenses)</w:t>
      </w:r>
      <w:r w:rsidR="00843827" w:rsidRPr="00201EDD">
        <w:rPr>
          <w:sz w:val="24"/>
          <w:szCs w:val="24"/>
        </w:rPr>
        <w:t xml:space="preserve">. Since then as the prospect of higher rates has more clearly come into focus, as you </w:t>
      </w:r>
      <w:r w:rsidR="00843827" w:rsidRPr="00201EDD">
        <w:rPr>
          <w:sz w:val="24"/>
          <w:szCs w:val="24"/>
        </w:rPr>
        <w:lastRenderedPageBreak/>
        <w:t>would expect, they’</w:t>
      </w:r>
      <w:r w:rsidR="00B479CC" w:rsidRPr="00201EDD">
        <w:rPr>
          <w:sz w:val="24"/>
          <w:szCs w:val="24"/>
        </w:rPr>
        <w:t xml:space="preserve">ve started to come down </w:t>
      </w:r>
      <w:r w:rsidR="00843827" w:rsidRPr="00201EDD">
        <w:rPr>
          <w:sz w:val="24"/>
          <w:szCs w:val="24"/>
        </w:rPr>
        <w:t>(by about 10% to H$6.9m</w:t>
      </w:r>
      <w:r w:rsidR="00B479CC" w:rsidRPr="00201EDD">
        <w:rPr>
          <w:sz w:val="24"/>
          <w:szCs w:val="24"/>
        </w:rPr>
        <w:t xml:space="preserve"> now. I haven’t been able to check but I expect the same dynamic is at work on the price of Discovery Bay golf carts that, last I heard, were over H$2m</w:t>
      </w:r>
      <w:r w:rsidR="00843827" w:rsidRPr="00201EDD">
        <w:rPr>
          <w:sz w:val="24"/>
          <w:szCs w:val="24"/>
        </w:rPr>
        <w:t>)</w:t>
      </w:r>
      <w:r w:rsidR="00B479CC" w:rsidRPr="00201EDD">
        <w:rPr>
          <w:sz w:val="24"/>
          <w:szCs w:val="24"/>
        </w:rPr>
        <w:t>. Home prices on the other hand have hardly moved</w:t>
      </w:r>
      <w:r w:rsidR="00AE37FB" w:rsidRPr="00201EDD">
        <w:rPr>
          <w:sz w:val="24"/>
          <w:szCs w:val="24"/>
        </w:rPr>
        <w:t xml:space="preserve"> so what’s the big difference? Both are relatively liquid assets with simple to calculate potential cash flows so shouldn’t they (and all cash generating assets) move together? The answer of course is yes; until they don’t. What’s different is future</w:t>
      </w:r>
      <w:r w:rsidR="00C7341F">
        <w:rPr>
          <w:sz w:val="24"/>
          <w:szCs w:val="24"/>
        </w:rPr>
        <w:t>-</w:t>
      </w:r>
      <w:r w:rsidR="00AE37FB" w:rsidRPr="00201EDD">
        <w:rPr>
          <w:sz w:val="24"/>
          <w:szCs w:val="24"/>
        </w:rPr>
        <w:t xml:space="preserve">price expectation; and property investors </w:t>
      </w:r>
      <w:r w:rsidR="00C7341F">
        <w:rPr>
          <w:sz w:val="24"/>
          <w:szCs w:val="24"/>
        </w:rPr>
        <w:t xml:space="preserve">must </w:t>
      </w:r>
      <w:r w:rsidR="00CC5EF7">
        <w:rPr>
          <w:sz w:val="24"/>
          <w:szCs w:val="24"/>
        </w:rPr>
        <w:t xml:space="preserve">now </w:t>
      </w:r>
      <w:r w:rsidR="00C7341F">
        <w:rPr>
          <w:sz w:val="24"/>
          <w:szCs w:val="24"/>
        </w:rPr>
        <w:t xml:space="preserve">be </w:t>
      </w:r>
      <w:r w:rsidR="00CC5EF7">
        <w:rPr>
          <w:sz w:val="24"/>
          <w:szCs w:val="24"/>
        </w:rPr>
        <w:t xml:space="preserve">incorporating </w:t>
      </w:r>
      <w:r w:rsidR="0077748B">
        <w:rPr>
          <w:sz w:val="24"/>
          <w:szCs w:val="24"/>
        </w:rPr>
        <w:t>higher future-</w:t>
      </w:r>
      <w:r w:rsidR="00AE37FB" w:rsidRPr="00201EDD">
        <w:rPr>
          <w:sz w:val="24"/>
          <w:szCs w:val="24"/>
        </w:rPr>
        <w:t xml:space="preserve">price expectations into their calculations; but </w:t>
      </w:r>
      <w:r w:rsidR="00C7341F">
        <w:rPr>
          <w:sz w:val="24"/>
          <w:szCs w:val="24"/>
        </w:rPr>
        <w:t>why, and why will this process be ongoing</w:t>
      </w:r>
      <w:r w:rsidR="00AE37FB" w:rsidRPr="00201EDD">
        <w:rPr>
          <w:sz w:val="24"/>
          <w:szCs w:val="24"/>
        </w:rPr>
        <w:t>?</w:t>
      </w:r>
    </w:p>
    <w:p w:rsidR="00502949" w:rsidRPr="00201EDD" w:rsidRDefault="00502949" w:rsidP="00FE06A8">
      <w:pPr>
        <w:spacing w:after="0"/>
        <w:jc w:val="both"/>
        <w:rPr>
          <w:sz w:val="24"/>
          <w:szCs w:val="24"/>
        </w:rPr>
      </w:pPr>
    </w:p>
    <w:p w:rsidR="00201EDD" w:rsidRPr="00201EDD" w:rsidRDefault="00743933" w:rsidP="00201EDD">
      <w:pPr>
        <w:spacing w:after="0"/>
        <w:jc w:val="both"/>
        <w:rPr>
          <w:b/>
          <w:sz w:val="24"/>
          <w:szCs w:val="24"/>
        </w:rPr>
      </w:pPr>
      <w:r w:rsidRPr="00201EDD">
        <w:rPr>
          <w:b/>
          <w:sz w:val="24"/>
          <w:szCs w:val="24"/>
        </w:rPr>
        <w:t>In a word? Inflation</w:t>
      </w:r>
    </w:p>
    <w:p w:rsidR="00201EDD" w:rsidRDefault="00201EDD" w:rsidP="00201EDD">
      <w:pPr>
        <w:spacing w:after="0"/>
        <w:jc w:val="both"/>
        <w:rPr>
          <w:sz w:val="24"/>
          <w:szCs w:val="24"/>
        </w:rPr>
      </w:pPr>
    </w:p>
    <w:p w:rsidR="00D67124" w:rsidRDefault="00743933" w:rsidP="00201EDD">
      <w:pPr>
        <w:spacing w:after="0"/>
        <w:jc w:val="both"/>
        <w:rPr>
          <w:rFonts w:cs="MS Mincho"/>
          <w:sz w:val="24"/>
          <w:szCs w:val="24"/>
        </w:rPr>
      </w:pPr>
      <w:r w:rsidRPr="00201EDD">
        <w:rPr>
          <w:sz w:val="24"/>
          <w:szCs w:val="24"/>
        </w:rPr>
        <w:t xml:space="preserve">Had he lived in HK Milton Friedman might have mused, </w:t>
      </w:r>
      <w:r w:rsidRPr="00201EDD">
        <w:rPr>
          <w:sz w:val="24"/>
          <w:szCs w:val="24"/>
        </w:rPr>
        <w:t xml:space="preserve">as I did recently, </w:t>
      </w:r>
      <w:r w:rsidRPr="00201EDD">
        <w:rPr>
          <w:sz w:val="24"/>
          <w:szCs w:val="24"/>
        </w:rPr>
        <w:t>that inflation is everywhere and always a congee phenomenon. Near my office is one of the finest congee vendors in all of HK</w:t>
      </w:r>
      <w:r w:rsidR="00272AD6">
        <w:rPr>
          <w:sz w:val="24"/>
          <w:szCs w:val="24"/>
        </w:rPr>
        <w:t xml:space="preserve"> (</w:t>
      </w:r>
      <w:r w:rsidRPr="00201EDD">
        <w:rPr>
          <w:sz w:val="24"/>
          <w:szCs w:val="24"/>
        </w:rPr>
        <w:t xml:space="preserve">and therefore </w:t>
      </w:r>
      <w:r w:rsidR="00655082">
        <w:rPr>
          <w:sz w:val="24"/>
          <w:szCs w:val="24"/>
        </w:rPr>
        <w:t xml:space="preserve">of course </w:t>
      </w:r>
      <w:r w:rsidRPr="00201EDD">
        <w:rPr>
          <w:sz w:val="24"/>
          <w:szCs w:val="24"/>
        </w:rPr>
        <w:t>the world</w:t>
      </w:r>
      <w:r w:rsidR="00272AD6">
        <w:rPr>
          <w:sz w:val="24"/>
          <w:szCs w:val="24"/>
        </w:rPr>
        <w:t>)</w:t>
      </w:r>
      <w:r w:rsidRPr="00201EDD">
        <w:rPr>
          <w:sz w:val="24"/>
          <w:szCs w:val="24"/>
        </w:rPr>
        <w:t xml:space="preserve">. Three years ago my regular Friday ritual of a breakfast fish-congee used to set me back H$24.00 (or H$25.00 if you wanted to carry it away. Tremendous margins on the tub..). Today that same bowl of Heaven is H$30.00, a rise of </w:t>
      </w:r>
      <w:r w:rsidR="00201EDD" w:rsidRPr="00201EDD">
        <w:rPr>
          <w:sz w:val="24"/>
          <w:szCs w:val="24"/>
        </w:rPr>
        <w:t>25%. Another guilty pleasure, carrot cake from the organic Life Café</w:t>
      </w:r>
      <w:r w:rsidR="00502949">
        <w:rPr>
          <w:sz w:val="24"/>
          <w:szCs w:val="24"/>
        </w:rPr>
        <w:t xml:space="preserve"> next door</w:t>
      </w:r>
      <w:r w:rsidR="00201EDD" w:rsidRPr="00201EDD">
        <w:rPr>
          <w:sz w:val="24"/>
          <w:szCs w:val="24"/>
        </w:rPr>
        <w:t xml:space="preserve">, just went from H$45.00 to H$50.00 and </w:t>
      </w:r>
      <w:r w:rsidR="00201EDD">
        <w:rPr>
          <w:sz w:val="24"/>
          <w:szCs w:val="24"/>
        </w:rPr>
        <w:t xml:space="preserve">my </w:t>
      </w:r>
      <w:r w:rsidR="00201EDD" w:rsidRPr="00201EDD">
        <w:rPr>
          <w:sz w:val="24"/>
          <w:szCs w:val="24"/>
        </w:rPr>
        <w:t xml:space="preserve">preferred herbal tea vendor </w:t>
      </w:r>
      <w:r w:rsidR="00502949">
        <w:rPr>
          <w:sz w:val="24"/>
          <w:szCs w:val="24"/>
        </w:rPr>
        <w:t xml:space="preserve">recently </w:t>
      </w:r>
      <w:r w:rsidR="00201EDD" w:rsidRPr="00201EDD">
        <w:rPr>
          <w:sz w:val="24"/>
          <w:szCs w:val="24"/>
        </w:rPr>
        <w:t xml:space="preserve">increased the cost of </w:t>
      </w:r>
      <w:r w:rsidR="00201EDD">
        <w:rPr>
          <w:sz w:val="24"/>
          <w:szCs w:val="24"/>
        </w:rPr>
        <w:t>their c</w:t>
      </w:r>
      <w:r w:rsidR="00201EDD" w:rsidRPr="00201EDD">
        <w:rPr>
          <w:sz w:val="24"/>
          <w:szCs w:val="24"/>
        </w:rPr>
        <w:t>hi</w:t>
      </w:r>
      <w:r w:rsidR="00655082">
        <w:rPr>
          <w:sz w:val="24"/>
          <w:szCs w:val="24"/>
        </w:rPr>
        <w:t>-</w:t>
      </w:r>
      <w:r w:rsidR="00201EDD" w:rsidRPr="00201EDD">
        <w:rPr>
          <w:sz w:val="24"/>
          <w:szCs w:val="24"/>
        </w:rPr>
        <w:t>balancing ya sei mei (</w:t>
      </w:r>
      <w:r w:rsidR="00201EDD" w:rsidRPr="00201EDD">
        <w:rPr>
          <w:rFonts w:eastAsia="MS Gothic" w:cs="MS Gothic"/>
          <w:sz w:val="24"/>
          <w:szCs w:val="24"/>
        </w:rPr>
        <w:t>廿四味</w:t>
      </w:r>
      <w:r w:rsidR="00201EDD" w:rsidRPr="00201EDD">
        <w:rPr>
          <w:rFonts w:cs="MS Mincho"/>
          <w:sz w:val="24"/>
          <w:szCs w:val="24"/>
        </w:rPr>
        <w:t>) from H$5.00 to H$7.00</w:t>
      </w:r>
      <w:r w:rsidR="00201EDD">
        <w:rPr>
          <w:rFonts w:cs="MS Mincho"/>
          <w:sz w:val="24"/>
          <w:szCs w:val="24"/>
        </w:rPr>
        <w:t xml:space="preserve">, a 40% increase. </w:t>
      </w:r>
      <w:r w:rsidR="00201EDD" w:rsidRPr="00201EDD">
        <w:rPr>
          <w:rFonts w:cs="MS Mincho"/>
          <w:sz w:val="24"/>
          <w:szCs w:val="24"/>
        </w:rPr>
        <w:t xml:space="preserve"> </w:t>
      </w:r>
    </w:p>
    <w:p w:rsidR="00D67124" w:rsidRDefault="00D67124" w:rsidP="00201EDD">
      <w:pPr>
        <w:spacing w:after="0"/>
        <w:jc w:val="both"/>
        <w:rPr>
          <w:rFonts w:cs="MS Mincho"/>
          <w:sz w:val="24"/>
          <w:szCs w:val="24"/>
        </w:rPr>
      </w:pPr>
    </w:p>
    <w:p w:rsidR="00201EDD" w:rsidRDefault="00201EDD" w:rsidP="00201EDD">
      <w:pPr>
        <w:spacing w:after="0"/>
        <w:jc w:val="both"/>
        <w:rPr>
          <w:rFonts w:cs="MS Mincho"/>
          <w:sz w:val="24"/>
          <w:szCs w:val="24"/>
        </w:rPr>
      </w:pPr>
      <w:r>
        <w:rPr>
          <w:rFonts w:cs="MS Mincho"/>
          <w:sz w:val="24"/>
          <w:szCs w:val="24"/>
        </w:rPr>
        <w:t>The bottom line here is that HK has an inflation problem. This is partly due to the increasing cost of the Rmb in which a lot of our daily necessities are priced but mainly due to the adoption of a</w:t>
      </w:r>
      <w:r w:rsidR="00D67124">
        <w:rPr>
          <w:rFonts w:cs="MS Mincho"/>
          <w:sz w:val="24"/>
          <w:szCs w:val="24"/>
        </w:rPr>
        <w:t>n</w:t>
      </w:r>
      <w:r>
        <w:rPr>
          <w:rFonts w:cs="MS Mincho"/>
          <w:sz w:val="24"/>
          <w:szCs w:val="24"/>
        </w:rPr>
        <w:t xml:space="preserve"> inappropriate monetary policy. </w:t>
      </w:r>
      <w:r w:rsidR="00D67124">
        <w:rPr>
          <w:rFonts w:cs="MS Mincho"/>
          <w:sz w:val="24"/>
          <w:szCs w:val="24"/>
        </w:rPr>
        <w:t xml:space="preserve">Our economy is set to grow by around 2.5% this year and our unemployment rate is around 3%. With an output gap according to the HKMA (2013 Half-Yearly Monetary and Financial Stability Report) ‘almost closed’ the lack of slack in the economy is, it would be no surprise to Milton, showing up in higher prices. </w:t>
      </w:r>
    </w:p>
    <w:p w:rsidR="00653BD1" w:rsidRDefault="00653BD1" w:rsidP="00201EDD">
      <w:pPr>
        <w:spacing w:after="0"/>
        <w:jc w:val="both"/>
        <w:rPr>
          <w:rFonts w:cs="MS Mincho"/>
          <w:sz w:val="24"/>
          <w:szCs w:val="24"/>
        </w:rPr>
      </w:pPr>
    </w:p>
    <w:p w:rsidR="00653BD1" w:rsidRPr="007B2B23" w:rsidRDefault="00653BD1" w:rsidP="00201EDD">
      <w:pPr>
        <w:spacing w:after="0"/>
        <w:jc w:val="both"/>
        <w:rPr>
          <w:rFonts w:cs="MS Mincho"/>
          <w:b/>
          <w:sz w:val="24"/>
          <w:szCs w:val="24"/>
        </w:rPr>
      </w:pPr>
      <w:r w:rsidRPr="007B2B23">
        <w:rPr>
          <w:rFonts w:cs="MS Mincho"/>
          <w:b/>
          <w:sz w:val="24"/>
          <w:szCs w:val="24"/>
        </w:rPr>
        <w:t>Rental yields. Why the calculation is flawed</w:t>
      </w:r>
    </w:p>
    <w:p w:rsidR="00653BD1" w:rsidRDefault="00653BD1" w:rsidP="00201EDD">
      <w:pPr>
        <w:spacing w:after="0"/>
        <w:jc w:val="both"/>
        <w:rPr>
          <w:rFonts w:cs="MS Mincho"/>
          <w:sz w:val="24"/>
          <w:szCs w:val="24"/>
        </w:rPr>
      </w:pPr>
    </w:p>
    <w:p w:rsidR="007B2B23" w:rsidRDefault="00653BD1" w:rsidP="00201EDD">
      <w:pPr>
        <w:spacing w:after="0"/>
        <w:jc w:val="both"/>
        <w:rPr>
          <w:rFonts w:cs="MS Mincho"/>
          <w:sz w:val="24"/>
          <w:szCs w:val="24"/>
        </w:rPr>
      </w:pPr>
      <w:r>
        <w:rPr>
          <w:rFonts w:cs="MS Mincho"/>
          <w:sz w:val="24"/>
          <w:szCs w:val="24"/>
        </w:rPr>
        <w:t>Purists will argue that property values, like taxi license prices, can’t de-couple from the reality of rents</w:t>
      </w:r>
      <w:r w:rsidR="00502949">
        <w:rPr>
          <w:rFonts w:cs="MS Mincho"/>
          <w:sz w:val="24"/>
          <w:szCs w:val="24"/>
        </w:rPr>
        <w:t xml:space="preserve">, which are firm but not </w:t>
      </w:r>
      <w:r w:rsidR="00C7341F">
        <w:rPr>
          <w:rFonts w:cs="MS Mincho"/>
          <w:sz w:val="24"/>
          <w:szCs w:val="24"/>
        </w:rPr>
        <w:t xml:space="preserve">presently </w:t>
      </w:r>
      <w:r w:rsidR="00502949">
        <w:rPr>
          <w:rFonts w:cs="MS Mincho"/>
          <w:sz w:val="24"/>
          <w:szCs w:val="24"/>
        </w:rPr>
        <w:t>roaring ahead</w:t>
      </w:r>
      <w:r>
        <w:rPr>
          <w:rFonts w:cs="MS Mincho"/>
          <w:sz w:val="24"/>
          <w:szCs w:val="24"/>
        </w:rPr>
        <w:t>; but they have in the past and, I have no doubt, will do so again. This pr</w:t>
      </w:r>
      <w:r w:rsidR="00CC5EF7">
        <w:rPr>
          <w:rFonts w:cs="MS Mincho"/>
          <w:sz w:val="24"/>
          <w:szCs w:val="24"/>
        </w:rPr>
        <w:t xml:space="preserve">ocess begins when </w:t>
      </w:r>
      <w:r>
        <w:rPr>
          <w:rFonts w:cs="MS Mincho"/>
          <w:sz w:val="24"/>
          <w:szCs w:val="24"/>
        </w:rPr>
        <w:t>higher future assumed values for property are plugged into a consideration of potential holding period return</w:t>
      </w:r>
      <w:r w:rsidR="00655082">
        <w:rPr>
          <w:rFonts w:cs="MS Mincho"/>
          <w:sz w:val="24"/>
          <w:szCs w:val="24"/>
        </w:rPr>
        <w:t>; which, in good times, inevitably becomes shorter</w:t>
      </w:r>
      <w:r>
        <w:rPr>
          <w:rFonts w:cs="MS Mincho"/>
          <w:sz w:val="24"/>
          <w:szCs w:val="24"/>
        </w:rPr>
        <w:t>. I’m not saying this is right, nor that in the past this hasn’t</w:t>
      </w:r>
      <w:r w:rsidR="00967924">
        <w:rPr>
          <w:rFonts w:cs="MS Mincho"/>
          <w:sz w:val="24"/>
          <w:szCs w:val="24"/>
        </w:rPr>
        <w:t xml:space="preserve"> </w:t>
      </w:r>
      <w:r>
        <w:rPr>
          <w:rFonts w:cs="MS Mincho"/>
          <w:sz w:val="24"/>
          <w:szCs w:val="24"/>
        </w:rPr>
        <w:t>be</w:t>
      </w:r>
      <w:r w:rsidR="00CC5EF7">
        <w:rPr>
          <w:rFonts w:cs="MS Mincho"/>
          <w:sz w:val="24"/>
          <w:szCs w:val="24"/>
        </w:rPr>
        <w:t xml:space="preserve">en the prequel to a big </w:t>
      </w:r>
      <w:r>
        <w:rPr>
          <w:rFonts w:cs="MS Mincho"/>
          <w:sz w:val="24"/>
          <w:szCs w:val="24"/>
        </w:rPr>
        <w:t xml:space="preserve">correction. What I am saying though is that the notion of return for a property investor is a function of </w:t>
      </w:r>
      <w:r w:rsidR="00967924">
        <w:rPr>
          <w:rFonts w:cs="MS Mincho"/>
          <w:sz w:val="24"/>
          <w:szCs w:val="24"/>
        </w:rPr>
        <w:t>yield (or rent saved</w:t>
      </w:r>
      <w:r>
        <w:rPr>
          <w:rFonts w:cs="MS Mincho"/>
          <w:sz w:val="24"/>
          <w:szCs w:val="24"/>
        </w:rPr>
        <w:t xml:space="preserve">) AND some notion of forward value and the time period in which that forward value can be crystalized. </w:t>
      </w:r>
      <w:r w:rsidR="007B2B23">
        <w:rPr>
          <w:rFonts w:cs="MS Mincho"/>
          <w:sz w:val="24"/>
          <w:szCs w:val="24"/>
        </w:rPr>
        <w:t>Reflexivity often bites at this point</w:t>
      </w:r>
      <w:r>
        <w:rPr>
          <w:rFonts w:cs="MS Mincho"/>
          <w:sz w:val="24"/>
          <w:szCs w:val="24"/>
        </w:rPr>
        <w:t xml:space="preserve"> </w:t>
      </w:r>
      <w:r w:rsidR="007B2B23">
        <w:rPr>
          <w:rFonts w:cs="MS Mincho"/>
          <w:sz w:val="24"/>
          <w:szCs w:val="24"/>
        </w:rPr>
        <w:t>in a way in which it can’t for taxi licenses and golf carts because the perceived final value of these is a function of</w:t>
      </w:r>
      <w:r w:rsidR="00655082">
        <w:rPr>
          <w:rFonts w:cs="MS Mincho"/>
          <w:sz w:val="24"/>
          <w:szCs w:val="24"/>
        </w:rPr>
        <w:t xml:space="preserve">, essentially, </w:t>
      </w:r>
      <w:r w:rsidR="007B2B23">
        <w:rPr>
          <w:rFonts w:cs="MS Mincho"/>
          <w:sz w:val="24"/>
          <w:szCs w:val="24"/>
        </w:rPr>
        <w:t>static cash flows.</w:t>
      </w:r>
    </w:p>
    <w:p w:rsidR="007B2B23" w:rsidRDefault="007B2B23" w:rsidP="00201EDD">
      <w:pPr>
        <w:spacing w:after="0"/>
        <w:jc w:val="both"/>
        <w:rPr>
          <w:rFonts w:cs="MS Mincho"/>
          <w:sz w:val="24"/>
          <w:szCs w:val="24"/>
        </w:rPr>
      </w:pPr>
    </w:p>
    <w:p w:rsidR="007B2B23" w:rsidRPr="007B2B23" w:rsidRDefault="007B2B23" w:rsidP="00201EDD">
      <w:pPr>
        <w:spacing w:after="0"/>
        <w:jc w:val="both"/>
        <w:rPr>
          <w:rFonts w:cs="MS Mincho"/>
          <w:b/>
          <w:sz w:val="24"/>
          <w:szCs w:val="24"/>
        </w:rPr>
      </w:pPr>
      <w:r w:rsidRPr="007B2B23">
        <w:rPr>
          <w:rFonts w:cs="MS Mincho"/>
          <w:b/>
          <w:sz w:val="24"/>
          <w:szCs w:val="24"/>
        </w:rPr>
        <w:t>Now will you believe me?</w:t>
      </w:r>
    </w:p>
    <w:p w:rsidR="007B2B23" w:rsidRDefault="007B2B23" w:rsidP="00201EDD">
      <w:pPr>
        <w:spacing w:after="0"/>
        <w:jc w:val="both"/>
        <w:rPr>
          <w:rFonts w:cs="MS Mincho"/>
          <w:sz w:val="24"/>
          <w:szCs w:val="24"/>
        </w:rPr>
      </w:pPr>
    </w:p>
    <w:p w:rsidR="007B2B23" w:rsidRDefault="007B2B23" w:rsidP="00201EDD">
      <w:pPr>
        <w:spacing w:after="0"/>
        <w:jc w:val="both"/>
        <w:rPr>
          <w:rFonts w:cs="MS Mincho"/>
          <w:sz w:val="24"/>
          <w:szCs w:val="24"/>
        </w:rPr>
      </w:pPr>
      <w:r>
        <w:rPr>
          <w:rFonts w:cs="MS Mincho"/>
          <w:sz w:val="24"/>
          <w:szCs w:val="24"/>
        </w:rPr>
        <w:t>The chart shows three series over the 20</w:t>
      </w:r>
      <w:r w:rsidR="00655082">
        <w:rPr>
          <w:rFonts w:cs="MS Mincho"/>
          <w:sz w:val="24"/>
          <w:szCs w:val="24"/>
        </w:rPr>
        <w:t>-year period since 1993. The orange</w:t>
      </w:r>
      <w:r>
        <w:rPr>
          <w:rFonts w:cs="MS Mincho"/>
          <w:sz w:val="24"/>
          <w:szCs w:val="24"/>
        </w:rPr>
        <w:t xml:space="preserve"> line is Hong Kong home prices, the yellow is the RPI and the white is 3-month HIBOR. I could have done some fancy R² work here but on seeing the picture decided to let it </w:t>
      </w:r>
      <w:r w:rsidR="00967924">
        <w:rPr>
          <w:rFonts w:cs="MS Mincho"/>
          <w:sz w:val="24"/>
          <w:szCs w:val="24"/>
        </w:rPr>
        <w:t xml:space="preserve">alone </w:t>
      </w:r>
      <w:r>
        <w:rPr>
          <w:rFonts w:cs="MS Mincho"/>
          <w:sz w:val="24"/>
          <w:szCs w:val="24"/>
        </w:rPr>
        <w:t xml:space="preserve">do the talking. After the Asian financial crisis (big spikes on the left) interest rates and home prices went in the same direction for many </w:t>
      </w:r>
      <w:r w:rsidR="00655082">
        <w:rPr>
          <w:rFonts w:cs="MS Mincho"/>
          <w:noProof/>
          <w:sz w:val="24"/>
          <w:szCs w:val="24"/>
        </w:rPr>
        <w:drawing>
          <wp:anchor distT="0" distB="0" distL="114300" distR="114300" simplePos="0" relativeHeight="251659264" behindDoc="0" locked="0" layoutInCell="1" allowOverlap="1" wp14:anchorId="349D4E3C" wp14:editId="11CF13CA">
            <wp:simplePos x="0" y="0"/>
            <wp:positionH relativeFrom="margin">
              <wp:align>left</wp:align>
            </wp:positionH>
            <wp:positionV relativeFrom="paragraph">
              <wp:posOffset>38100</wp:posOffset>
            </wp:positionV>
            <wp:extent cx="2743200" cy="1828800"/>
            <wp:effectExtent l="38100" t="38100" r="38100" b="3810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PI rates and home prices.gif"/>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a:ln w="38100">
                      <a:solidFill>
                        <a:srgbClr val="FFFF00"/>
                      </a:solidFill>
                    </a:ln>
                  </pic:spPr>
                </pic:pic>
              </a:graphicData>
            </a:graphic>
            <wp14:sizeRelH relativeFrom="page">
              <wp14:pctWidth>0</wp14:pctWidth>
            </wp14:sizeRelH>
            <wp14:sizeRelV relativeFrom="page">
              <wp14:pctHeight>0</wp14:pctHeight>
            </wp14:sizeRelV>
          </wp:anchor>
        </w:drawing>
      </w:r>
      <w:r>
        <w:rPr>
          <w:rFonts w:cs="MS Mincho"/>
          <w:sz w:val="24"/>
          <w:szCs w:val="24"/>
        </w:rPr>
        <w:t>years</w:t>
      </w:r>
      <w:r w:rsidR="00967924">
        <w:rPr>
          <w:rFonts w:cs="MS Mincho"/>
          <w:sz w:val="24"/>
          <w:szCs w:val="24"/>
        </w:rPr>
        <w:t>; down</w:t>
      </w:r>
      <w:r>
        <w:rPr>
          <w:rFonts w:cs="MS Mincho"/>
          <w:sz w:val="24"/>
          <w:szCs w:val="24"/>
        </w:rPr>
        <w:t xml:space="preserve">. Then, as you can see (flat line on the </w:t>
      </w:r>
      <w:r w:rsidR="001E1AB9">
        <w:rPr>
          <w:rFonts w:cs="MS Mincho"/>
          <w:sz w:val="24"/>
          <w:szCs w:val="24"/>
        </w:rPr>
        <w:t>right) in the period since the GFC they’ve followed a more predictable course with low rates occurring at the same time as rising asset values. So, the relationship between interest rates (at least in this funny little pegged-currency town) and asset prices isn’t a reliable constant.</w:t>
      </w:r>
    </w:p>
    <w:p w:rsidR="001E1AB9" w:rsidRDefault="001E1AB9" w:rsidP="00201EDD">
      <w:pPr>
        <w:spacing w:after="0"/>
        <w:jc w:val="both"/>
        <w:rPr>
          <w:rFonts w:cs="MS Mincho"/>
          <w:sz w:val="24"/>
          <w:szCs w:val="24"/>
        </w:rPr>
      </w:pPr>
    </w:p>
    <w:p w:rsidR="001E1AB9" w:rsidRDefault="001E1AB9" w:rsidP="00201EDD">
      <w:pPr>
        <w:spacing w:after="0"/>
        <w:jc w:val="both"/>
        <w:rPr>
          <w:rFonts w:cs="MS Mincho"/>
          <w:sz w:val="24"/>
          <w:szCs w:val="24"/>
        </w:rPr>
      </w:pPr>
      <w:r>
        <w:rPr>
          <w:rFonts w:cs="MS Mincho"/>
          <w:sz w:val="24"/>
          <w:szCs w:val="24"/>
        </w:rPr>
        <w:t>The relationship between inflation and home prices on the other hand appear</w:t>
      </w:r>
      <w:r w:rsidR="00655082">
        <w:rPr>
          <w:rFonts w:cs="MS Mincho"/>
          <w:sz w:val="24"/>
          <w:szCs w:val="24"/>
        </w:rPr>
        <w:t>s</w:t>
      </w:r>
      <w:r>
        <w:rPr>
          <w:rFonts w:cs="MS Mincho"/>
          <w:sz w:val="24"/>
          <w:szCs w:val="24"/>
        </w:rPr>
        <w:t xml:space="preserve"> to be </w:t>
      </w:r>
      <w:r w:rsidR="00655082">
        <w:rPr>
          <w:rFonts w:cs="MS Mincho"/>
          <w:sz w:val="24"/>
          <w:szCs w:val="24"/>
        </w:rPr>
        <w:t xml:space="preserve">akin to that </w:t>
      </w:r>
      <w:r>
        <w:rPr>
          <w:rFonts w:cs="MS Mincho"/>
          <w:sz w:val="24"/>
          <w:szCs w:val="24"/>
        </w:rPr>
        <w:t xml:space="preserve">of a hand in a glove (there is some circular reference here as the HK CPI contains a large component, c.30%, of property prices via a rental component).  </w:t>
      </w:r>
    </w:p>
    <w:p w:rsidR="00743933" w:rsidRPr="00201EDD" w:rsidRDefault="00743933" w:rsidP="00FE06A8">
      <w:pPr>
        <w:spacing w:after="0"/>
        <w:jc w:val="both"/>
        <w:rPr>
          <w:sz w:val="24"/>
          <w:szCs w:val="24"/>
        </w:rPr>
      </w:pPr>
      <w:r w:rsidRPr="00201EDD">
        <w:rPr>
          <w:sz w:val="24"/>
          <w:szCs w:val="24"/>
        </w:rPr>
        <w:t xml:space="preserve"> </w:t>
      </w:r>
    </w:p>
    <w:p w:rsidR="00283A50" w:rsidRPr="00502949" w:rsidRDefault="00502949" w:rsidP="00FE06A8">
      <w:pPr>
        <w:spacing w:after="0"/>
        <w:jc w:val="both"/>
        <w:rPr>
          <w:b/>
          <w:sz w:val="24"/>
          <w:szCs w:val="24"/>
        </w:rPr>
      </w:pPr>
      <w:r w:rsidRPr="00502949">
        <w:rPr>
          <w:b/>
          <w:sz w:val="24"/>
          <w:szCs w:val="24"/>
        </w:rPr>
        <w:t>In conclusion</w:t>
      </w:r>
      <w:r w:rsidR="00AE37FB" w:rsidRPr="00502949">
        <w:rPr>
          <w:b/>
          <w:sz w:val="24"/>
          <w:szCs w:val="24"/>
        </w:rPr>
        <w:t xml:space="preserve"> </w:t>
      </w:r>
      <w:r w:rsidR="00B479CC" w:rsidRPr="00502949">
        <w:rPr>
          <w:b/>
          <w:sz w:val="24"/>
          <w:szCs w:val="24"/>
        </w:rPr>
        <w:t xml:space="preserve">   </w:t>
      </w:r>
    </w:p>
    <w:p w:rsidR="00502949" w:rsidRDefault="00502949" w:rsidP="00FE06A8">
      <w:pPr>
        <w:spacing w:after="0"/>
        <w:jc w:val="both"/>
        <w:rPr>
          <w:sz w:val="24"/>
          <w:szCs w:val="24"/>
        </w:rPr>
      </w:pPr>
    </w:p>
    <w:p w:rsidR="00967924" w:rsidRDefault="00502949" w:rsidP="00FE06A8">
      <w:pPr>
        <w:spacing w:after="0"/>
        <w:jc w:val="both"/>
        <w:rPr>
          <w:sz w:val="24"/>
          <w:szCs w:val="24"/>
        </w:rPr>
      </w:pPr>
      <w:r>
        <w:rPr>
          <w:sz w:val="24"/>
          <w:szCs w:val="24"/>
        </w:rPr>
        <w:t>Nothing in markets is for sure but if higher rates, or their prospect, were going to impact Hong Kong home prices th</w:t>
      </w:r>
      <w:r w:rsidR="00F150E2">
        <w:rPr>
          <w:sz w:val="24"/>
          <w:szCs w:val="24"/>
        </w:rPr>
        <w:t>ey should have done so by now. I</w:t>
      </w:r>
      <w:r>
        <w:rPr>
          <w:sz w:val="24"/>
          <w:szCs w:val="24"/>
        </w:rPr>
        <w:t xml:space="preserve">t’s possible that home owners are being the proverbial frogs in the pot that </w:t>
      </w:r>
      <w:r w:rsidR="00F150E2">
        <w:rPr>
          <w:sz w:val="24"/>
          <w:szCs w:val="24"/>
        </w:rPr>
        <w:t xml:space="preserve">haven’t </w:t>
      </w:r>
      <w:r>
        <w:rPr>
          <w:sz w:val="24"/>
          <w:szCs w:val="24"/>
        </w:rPr>
        <w:t>notice</w:t>
      </w:r>
      <w:r w:rsidR="00F150E2">
        <w:rPr>
          <w:sz w:val="24"/>
          <w:szCs w:val="24"/>
        </w:rPr>
        <w:t>d</w:t>
      </w:r>
      <w:r>
        <w:rPr>
          <w:sz w:val="24"/>
          <w:szCs w:val="24"/>
        </w:rPr>
        <w:t xml:space="preserve"> the water getting hotter</w:t>
      </w:r>
      <w:r w:rsidR="00967924">
        <w:rPr>
          <w:sz w:val="24"/>
          <w:szCs w:val="24"/>
        </w:rPr>
        <w:t>? To believe that though I’d have to believe they were either irrational or out of touch</w:t>
      </w:r>
      <w:r w:rsidR="0077748B">
        <w:rPr>
          <w:sz w:val="24"/>
          <w:szCs w:val="24"/>
        </w:rPr>
        <w:t xml:space="preserve">; and </w:t>
      </w:r>
      <w:r w:rsidR="00967924">
        <w:rPr>
          <w:sz w:val="24"/>
          <w:szCs w:val="24"/>
        </w:rPr>
        <w:t>I don’t</w:t>
      </w:r>
      <w:r w:rsidR="00F150E2">
        <w:rPr>
          <w:sz w:val="24"/>
          <w:szCs w:val="24"/>
        </w:rPr>
        <w:t xml:space="preserve"> believe either</w:t>
      </w:r>
      <w:r>
        <w:rPr>
          <w:sz w:val="24"/>
          <w:szCs w:val="24"/>
        </w:rPr>
        <w:t>.</w:t>
      </w:r>
      <w:r w:rsidR="00C7341F">
        <w:rPr>
          <w:sz w:val="24"/>
          <w:szCs w:val="24"/>
        </w:rPr>
        <w:t xml:space="preserve"> </w:t>
      </w:r>
    </w:p>
    <w:p w:rsidR="00967924" w:rsidRDefault="00967924" w:rsidP="00FE06A8">
      <w:pPr>
        <w:spacing w:after="0"/>
        <w:jc w:val="both"/>
        <w:rPr>
          <w:sz w:val="24"/>
          <w:szCs w:val="24"/>
        </w:rPr>
      </w:pPr>
    </w:p>
    <w:p w:rsidR="00EC7059" w:rsidRPr="00201EDD" w:rsidRDefault="00C7341F" w:rsidP="00FE06A8">
      <w:pPr>
        <w:spacing w:after="0"/>
        <w:jc w:val="both"/>
        <w:rPr>
          <w:sz w:val="24"/>
          <w:szCs w:val="24"/>
        </w:rPr>
      </w:pPr>
      <w:r>
        <w:rPr>
          <w:sz w:val="24"/>
          <w:szCs w:val="24"/>
        </w:rPr>
        <w:t xml:space="preserve">More likely the calculation is that real assets are worth holding in the event of a small rise in nominal interest rates if the economic climate </w:t>
      </w:r>
      <w:r w:rsidR="00967924">
        <w:rPr>
          <w:sz w:val="24"/>
          <w:szCs w:val="24"/>
        </w:rPr>
        <w:t xml:space="preserve">remains </w:t>
      </w:r>
      <w:r w:rsidR="0077748B">
        <w:rPr>
          <w:sz w:val="24"/>
          <w:szCs w:val="24"/>
        </w:rPr>
        <w:t>one in which inflation remains</w:t>
      </w:r>
      <w:r>
        <w:rPr>
          <w:sz w:val="24"/>
          <w:szCs w:val="24"/>
        </w:rPr>
        <w:t xml:space="preserve"> </w:t>
      </w:r>
      <w:r w:rsidR="00967924">
        <w:rPr>
          <w:sz w:val="24"/>
          <w:szCs w:val="24"/>
        </w:rPr>
        <w:t>persist</w:t>
      </w:r>
      <w:r w:rsidR="0077748B">
        <w:rPr>
          <w:sz w:val="24"/>
          <w:szCs w:val="24"/>
        </w:rPr>
        <w:t>ent</w:t>
      </w:r>
      <w:r>
        <w:rPr>
          <w:sz w:val="24"/>
          <w:szCs w:val="24"/>
        </w:rPr>
        <w:t xml:space="preserve">.   </w:t>
      </w:r>
      <w:r w:rsidR="00502949">
        <w:rPr>
          <w:sz w:val="24"/>
          <w:szCs w:val="24"/>
        </w:rPr>
        <w:t xml:space="preserve">  </w:t>
      </w:r>
      <w:r w:rsidR="00283A50" w:rsidRPr="00201EDD">
        <w:rPr>
          <w:sz w:val="24"/>
          <w:szCs w:val="24"/>
        </w:rPr>
        <w:t xml:space="preserve">  </w:t>
      </w:r>
    </w:p>
    <w:sectPr w:rsidR="00EC7059" w:rsidRPr="00201E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87" w:rsidRDefault="005F7887" w:rsidP="00743933">
      <w:pPr>
        <w:spacing w:after="0" w:line="240" w:lineRule="auto"/>
      </w:pPr>
      <w:r>
        <w:separator/>
      </w:r>
    </w:p>
  </w:endnote>
  <w:endnote w:type="continuationSeparator" w:id="0">
    <w:p w:rsidR="005F7887" w:rsidRDefault="005F7887" w:rsidP="0074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53988"/>
      <w:docPartObj>
        <w:docPartGallery w:val="Page Numbers (Bottom of Page)"/>
        <w:docPartUnique/>
      </w:docPartObj>
    </w:sdtPr>
    <w:sdtContent>
      <w:sdt>
        <w:sdtPr>
          <w:id w:val="1728636285"/>
          <w:docPartObj>
            <w:docPartGallery w:val="Page Numbers (Top of Page)"/>
            <w:docPartUnique/>
          </w:docPartObj>
        </w:sdtPr>
        <w:sdtContent>
          <w:p w:rsidR="00743933" w:rsidRDefault="007439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6B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B49">
              <w:rPr>
                <w:b/>
                <w:bCs/>
                <w:noProof/>
              </w:rPr>
              <w:t>3</w:t>
            </w:r>
            <w:r>
              <w:rPr>
                <w:b/>
                <w:bCs/>
                <w:sz w:val="24"/>
                <w:szCs w:val="24"/>
              </w:rPr>
              <w:fldChar w:fldCharType="end"/>
            </w:r>
          </w:p>
        </w:sdtContent>
      </w:sdt>
    </w:sdtContent>
  </w:sdt>
  <w:p w:rsidR="00743933" w:rsidRDefault="00743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87" w:rsidRDefault="005F7887" w:rsidP="00743933">
      <w:pPr>
        <w:spacing w:after="0" w:line="240" w:lineRule="auto"/>
      </w:pPr>
      <w:r>
        <w:separator/>
      </w:r>
    </w:p>
  </w:footnote>
  <w:footnote w:type="continuationSeparator" w:id="0">
    <w:p w:rsidR="005F7887" w:rsidRDefault="005F7887" w:rsidP="00743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50"/>
    <w:rsid w:val="00020E3E"/>
    <w:rsid w:val="00022091"/>
    <w:rsid w:val="00062B38"/>
    <w:rsid w:val="0006521A"/>
    <w:rsid w:val="000822D1"/>
    <w:rsid w:val="00084E8E"/>
    <w:rsid w:val="000B0247"/>
    <w:rsid w:val="000B4216"/>
    <w:rsid w:val="000C03E5"/>
    <w:rsid w:val="000C296B"/>
    <w:rsid w:val="000D31C9"/>
    <w:rsid w:val="00106C2D"/>
    <w:rsid w:val="00113D7F"/>
    <w:rsid w:val="00125999"/>
    <w:rsid w:val="001269A9"/>
    <w:rsid w:val="001372B5"/>
    <w:rsid w:val="001404CF"/>
    <w:rsid w:val="0017009F"/>
    <w:rsid w:val="00170772"/>
    <w:rsid w:val="0017473E"/>
    <w:rsid w:val="00181F0C"/>
    <w:rsid w:val="00182BA2"/>
    <w:rsid w:val="0018306E"/>
    <w:rsid w:val="001976EF"/>
    <w:rsid w:val="001C12E2"/>
    <w:rsid w:val="001D461B"/>
    <w:rsid w:val="001E1AB9"/>
    <w:rsid w:val="001F248E"/>
    <w:rsid w:val="00201EDD"/>
    <w:rsid w:val="0020371C"/>
    <w:rsid w:val="0021334A"/>
    <w:rsid w:val="0021396D"/>
    <w:rsid w:val="00223901"/>
    <w:rsid w:val="002314A4"/>
    <w:rsid w:val="002400F8"/>
    <w:rsid w:val="002637D3"/>
    <w:rsid w:val="00272939"/>
    <w:rsid w:val="00272AD6"/>
    <w:rsid w:val="002818DB"/>
    <w:rsid w:val="00283A50"/>
    <w:rsid w:val="00297BBF"/>
    <w:rsid w:val="002A61CF"/>
    <w:rsid w:val="002B53F1"/>
    <w:rsid w:val="002C2F55"/>
    <w:rsid w:val="002E7DE1"/>
    <w:rsid w:val="002F1D6A"/>
    <w:rsid w:val="002F2663"/>
    <w:rsid w:val="00321211"/>
    <w:rsid w:val="00321DF8"/>
    <w:rsid w:val="003470F8"/>
    <w:rsid w:val="00351E0B"/>
    <w:rsid w:val="00357A84"/>
    <w:rsid w:val="00367416"/>
    <w:rsid w:val="003739EB"/>
    <w:rsid w:val="003B24CE"/>
    <w:rsid w:val="003B54FC"/>
    <w:rsid w:val="003C06E1"/>
    <w:rsid w:val="003D36B2"/>
    <w:rsid w:val="003E4BBD"/>
    <w:rsid w:val="003F0D61"/>
    <w:rsid w:val="004118B1"/>
    <w:rsid w:val="004234B3"/>
    <w:rsid w:val="00424A57"/>
    <w:rsid w:val="00485CB9"/>
    <w:rsid w:val="00486D67"/>
    <w:rsid w:val="004875AC"/>
    <w:rsid w:val="004A61EF"/>
    <w:rsid w:val="004B09FF"/>
    <w:rsid w:val="004B2D63"/>
    <w:rsid w:val="004C1B94"/>
    <w:rsid w:val="004E0D39"/>
    <w:rsid w:val="00502949"/>
    <w:rsid w:val="005137BF"/>
    <w:rsid w:val="00563D8F"/>
    <w:rsid w:val="00564953"/>
    <w:rsid w:val="005675FC"/>
    <w:rsid w:val="00570C52"/>
    <w:rsid w:val="00576EEA"/>
    <w:rsid w:val="005A126C"/>
    <w:rsid w:val="005B515A"/>
    <w:rsid w:val="005C4FC7"/>
    <w:rsid w:val="005D239B"/>
    <w:rsid w:val="005D6138"/>
    <w:rsid w:val="005E2C72"/>
    <w:rsid w:val="005E34B2"/>
    <w:rsid w:val="005E5989"/>
    <w:rsid w:val="005E6C21"/>
    <w:rsid w:val="005F7887"/>
    <w:rsid w:val="00605E50"/>
    <w:rsid w:val="00634A13"/>
    <w:rsid w:val="00653BD1"/>
    <w:rsid w:val="00655082"/>
    <w:rsid w:val="00677860"/>
    <w:rsid w:val="00681AFA"/>
    <w:rsid w:val="006873FD"/>
    <w:rsid w:val="0069669D"/>
    <w:rsid w:val="006A3A58"/>
    <w:rsid w:val="006A675E"/>
    <w:rsid w:val="006B11EB"/>
    <w:rsid w:val="006B3B97"/>
    <w:rsid w:val="006C436C"/>
    <w:rsid w:val="006C76E7"/>
    <w:rsid w:val="006D305F"/>
    <w:rsid w:val="006D4D27"/>
    <w:rsid w:val="006D5089"/>
    <w:rsid w:val="006E47C3"/>
    <w:rsid w:val="006F24AE"/>
    <w:rsid w:val="006F538E"/>
    <w:rsid w:val="00730FDD"/>
    <w:rsid w:val="00733DA4"/>
    <w:rsid w:val="00743933"/>
    <w:rsid w:val="0074472A"/>
    <w:rsid w:val="00747042"/>
    <w:rsid w:val="00754374"/>
    <w:rsid w:val="0076216C"/>
    <w:rsid w:val="0077748B"/>
    <w:rsid w:val="00784AE3"/>
    <w:rsid w:val="00787C34"/>
    <w:rsid w:val="00795E80"/>
    <w:rsid w:val="007B129C"/>
    <w:rsid w:val="007B12DA"/>
    <w:rsid w:val="007B2B23"/>
    <w:rsid w:val="007B5A6D"/>
    <w:rsid w:val="007B6D09"/>
    <w:rsid w:val="007C6B49"/>
    <w:rsid w:val="007F2FC2"/>
    <w:rsid w:val="00807415"/>
    <w:rsid w:val="00824371"/>
    <w:rsid w:val="008301EB"/>
    <w:rsid w:val="0083386F"/>
    <w:rsid w:val="00843827"/>
    <w:rsid w:val="00853530"/>
    <w:rsid w:val="0087240E"/>
    <w:rsid w:val="0088115C"/>
    <w:rsid w:val="00924353"/>
    <w:rsid w:val="00934080"/>
    <w:rsid w:val="00944DC9"/>
    <w:rsid w:val="00956AE8"/>
    <w:rsid w:val="00967924"/>
    <w:rsid w:val="00972B3A"/>
    <w:rsid w:val="00976182"/>
    <w:rsid w:val="0098471F"/>
    <w:rsid w:val="00987632"/>
    <w:rsid w:val="009B21C8"/>
    <w:rsid w:val="009B6095"/>
    <w:rsid w:val="009C1A41"/>
    <w:rsid w:val="009C32E2"/>
    <w:rsid w:val="009C7149"/>
    <w:rsid w:val="009E0EA4"/>
    <w:rsid w:val="00A10E09"/>
    <w:rsid w:val="00A131C6"/>
    <w:rsid w:val="00A32171"/>
    <w:rsid w:val="00A36170"/>
    <w:rsid w:val="00A43C39"/>
    <w:rsid w:val="00A47BD4"/>
    <w:rsid w:val="00A5008C"/>
    <w:rsid w:val="00A607BC"/>
    <w:rsid w:val="00A82199"/>
    <w:rsid w:val="00A97ECE"/>
    <w:rsid w:val="00AB41EA"/>
    <w:rsid w:val="00AC7EAE"/>
    <w:rsid w:val="00AD1393"/>
    <w:rsid w:val="00AE37FB"/>
    <w:rsid w:val="00B02461"/>
    <w:rsid w:val="00B14F82"/>
    <w:rsid w:val="00B479CC"/>
    <w:rsid w:val="00B70D3D"/>
    <w:rsid w:val="00B720F9"/>
    <w:rsid w:val="00B766CC"/>
    <w:rsid w:val="00B76D6B"/>
    <w:rsid w:val="00B83A55"/>
    <w:rsid w:val="00B9704D"/>
    <w:rsid w:val="00BA1D6C"/>
    <w:rsid w:val="00BC252F"/>
    <w:rsid w:val="00BC342C"/>
    <w:rsid w:val="00BF293A"/>
    <w:rsid w:val="00C40763"/>
    <w:rsid w:val="00C42F5D"/>
    <w:rsid w:val="00C5747D"/>
    <w:rsid w:val="00C67070"/>
    <w:rsid w:val="00C7341F"/>
    <w:rsid w:val="00C81534"/>
    <w:rsid w:val="00C853D3"/>
    <w:rsid w:val="00CA09FE"/>
    <w:rsid w:val="00CC4C3E"/>
    <w:rsid w:val="00CC5EF7"/>
    <w:rsid w:val="00CE7754"/>
    <w:rsid w:val="00CF787C"/>
    <w:rsid w:val="00D04C15"/>
    <w:rsid w:val="00D1323D"/>
    <w:rsid w:val="00D368AD"/>
    <w:rsid w:val="00D54706"/>
    <w:rsid w:val="00D67124"/>
    <w:rsid w:val="00D94F35"/>
    <w:rsid w:val="00D95174"/>
    <w:rsid w:val="00DA4271"/>
    <w:rsid w:val="00DB454D"/>
    <w:rsid w:val="00DB626F"/>
    <w:rsid w:val="00DC1DF6"/>
    <w:rsid w:val="00DD4502"/>
    <w:rsid w:val="00DD6C40"/>
    <w:rsid w:val="00DE47AF"/>
    <w:rsid w:val="00DE5BE4"/>
    <w:rsid w:val="00E13358"/>
    <w:rsid w:val="00E17B67"/>
    <w:rsid w:val="00E22452"/>
    <w:rsid w:val="00E47040"/>
    <w:rsid w:val="00E60E35"/>
    <w:rsid w:val="00E71C89"/>
    <w:rsid w:val="00E84246"/>
    <w:rsid w:val="00EC7059"/>
    <w:rsid w:val="00ED09D2"/>
    <w:rsid w:val="00EE45E7"/>
    <w:rsid w:val="00EE73A3"/>
    <w:rsid w:val="00EF66AD"/>
    <w:rsid w:val="00EF7D3C"/>
    <w:rsid w:val="00F00524"/>
    <w:rsid w:val="00F150E2"/>
    <w:rsid w:val="00F42C18"/>
    <w:rsid w:val="00F86EB1"/>
    <w:rsid w:val="00FB569E"/>
    <w:rsid w:val="00FD2804"/>
    <w:rsid w:val="00FD309B"/>
    <w:rsid w:val="00FE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15D24-057F-4796-9360-26501A14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1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42C"/>
    <w:rPr>
      <w:color w:val="0563C1" w:themeColor="hyperlink"/>
      <w:u w:val="single"/>
    </w:rPr>
  </w:style>
  <w:style w:type="paragraph" w:styleId="Header">
    <w:name w:val="header"/>
    <w:basedOn w:val="Normal"/>
    <w:link w:val="HeaderChar"/>
    <w:uiPriority w:val="99"/>
    <w:unhideWhenUsed/>
    <w:rsid w:val="00743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33"/>
  </w:style>
  <w:style w:type="paragraph" w:styleId="Footer">
    <w:name w:val="footer"/>
    <w:basedOn w:val="Normal"/>
    <w:link w:val="FooterChar"/>
    <w:uiPriority w:val="99"/>
    <w:unhideWhenUsed/>
    <w:rsid w:val="00743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33"/>
  </w:style>
  <w:style w:type="character" w:customStyle="1" w:styleId="Heading2Char">
    <w:name w:val="Heading 2 Char"/>
    <w:basedOn w:val="DefaultParagraphFont"/>
    <w:link w:val="Heading2"/>
    <w:uiPriority w:val="9"/>
    <w:rsid w:val="00201ED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2013-09-09T01:11:00Z</dcterms:created>
  <dcterms:modified xsi:type="dcterms:W3CDTF">2013-09-09T07:04:00Z</dcterms:modified>
</cp:coreProperties>
</file>